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Incident Severity Matrix</w:t>
      </w:r>
    </w:p>
    <w:p>
      <w:pPr>
        <w:ind w:left="720"/>
      </w:pPr>
      <w:r>
        <w:rPr>
          <w:i/>
          <w:color w:val="666666"/>
        </w:rPr>
        <w:t xml:space="preserve">**Severity classification and response framework for Acme Inc.**</w:t>
      </w:r>
    </w:p>
    <w:p>
      <w:pPr>
        <w:ind w:left="720"/>
      </w:pPr>
      <w:r>
        <w:rPr>
          <w:i/>
          <w:color w:val="666666"/>
        </w:rPr>
        <w:t xml:space="preserve">8 services | Generated on 2026-03-19</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Bdr>
          <w:bottom w:val="single" w:sz="6" w:space="1" w:color="999999"/>
        </w:pBdr>
      </w:pPr>
    </w:p>
    <w:p>
      <w:pPr>
        <w:pStyle w:val="Heading2"/>
      </w:pPr>
      <w:r>
        <w:t>Purpose</w:t>
      </w:r>
    </w:p>
    <w:p>
      <w:r>
        <w:t xml:space="preserve">This matrix defines severity levels for security incidents and service disruptions. It establishes response times, escalation paths, and communication requirements to ensure consistent and rapid incident handling.</w:t>
      </w:r>
    </w:p>
    <w:p>
      <w:pPr>
        <w:pBdr>
          <w:bottom w:val="single" w:sz="6" w:space="1" w:color="999999"/>
        </w:pBdr>
      </w:pPr>
    </w:p>
    <w:p>
      <w:pPr>
        <w:pStyle w:val="Heading2"/>
      </w:pPr>
      <w:r>
        <w:t>1. Severity Level Definitions</w:t>
      </w:r>
    </w:p>
    <w:p>
      <w:r>
        <w:rPr>
          <w:sz w:val="20"/>
        </w:rPr>
        <w:t xml:space="preserve">Level  |  Name  |  Definition  |  Examples</w:t>
      </w:r>
    </w:p>
    <w:p>
      <w:r>
        <w:rPr>
          <w:sz w:val="20"/>
        </w:rPr>
        <w:t xml:space="preserve">**P0**  |  **Catastrophic**  |  Complete system compromise, active data exfiltration, or regulatory breach affecting all users  |  Production database breach, ransomware encrypting all systems, leaked master encryption keys, complete auth bypass</w:t>
      </w:r>
    </w:p>
    <w:p>
      <w:r>
        <w:rPr>
          <w:sz w:val="20"/>
        </w:rPr>
        <w:t xml:space="preserve">**P1**  |  **Critical**  |  Major security incident with confirmed data exposure or significant service degradation  |  Unauthorized access to PII, API key compromise with data access, partial service outage affecting &gt;50% users</w:t>
      </w:r>
    </w:p>
    <w:p>
      <w:r>
        <w:rPr>
          <w:sz w:val="20"/>
        </w:rPr>
        <w:t xml:space="preserve">**P2**  |  **High**  |  Security incident with potential data exposure or moderate service impact  |  Vulnerability actively exploited, unauthorized access detected but contained, service degradation affecting &lt;50% users</w:t>
      </w:r>
    </w:p>
    <w:p>
      <w:r>
        <w:rPr>
          <w:sz w:val="20"/>
        </w:rPr>
        <w:t xml:space="preserve">**P3**  |  **Medium**  |  Security event requiring investigation with limited immediate impact  |  Suspicious access patterns, failed intrusion attempts, configuration drift detected, minor data quality issues</w:t>
      </w:r>
    </w:p>
    <w:p>
      <w:r>
        <w:rPr>
          <w:sz w:val="20"/>
        </w:rPr>
        <w:t xml:space="preserve">**P4**  |  **Low**  |  Minor security event or policy violation with no data impact  |  Phishing attempt blocked, minor policy violation, non-sensitive log exposure, informational security alert</w:t>
      </w:r>
    </w:p>
    <w:p>
      <w:pPr>
        <w:pBdr>
          <w:bottom w:val="single" w:sz="6" w:space="1" w:color="999999"/>
        </w:pBdr>
      </w:pPr>
    </w:p>
    <w:p>
      <w:pPr>
        <w:pStyle w:val="Heading2"/>
      </w:pPr>
      <w:r>
        <w:t>2. Response Time Requirements</w:t>
      </w:r>
    </w:p>
    <w:p>
      <w:r>
        <w:rPr>
          <w:sz w:val="20"/>
        </w:rPr>
        <w:t xml:space="preserve">Level  |  Acknowledge  |  Triage  |  Initial Response  |  Resolution Target  |  Post-Mortem</w:t>
      </w:r>
    </w:p>
    <w:p>
      <w:r>
        <w:rPr>
          <w:sz w:val="20"/>
        </w:rPr>
        <w:t xml:space="preserve">**P0**  |  5 minutes  |  15 minutes  |  30 minutes  |  4 hours  |  Within 24 hours</w:t>
      </w:r>
    </w:p>
    <w:p>
      <w:r>
        <w:rPr>
          <w:sz w:val="20"/>
        </w:rPr>
        <w:t xml:space="preserve">**P1**  |  15 minutes  |  30 minutes  |  1 hour  |  8 hours  |  Within 48 hours</w:t>
      </w:r>
    </w:p>
    <w:p>
      <w:r>
        <w:rPr>
          <w:sz w:val="20"/>
        </w:rPr>
        <w:t xml:space="preserve">**P2**  |  30 minutes  |  1 hour  |  4 hours  |  24 hours  |  Within 5 business days</w:t>
      </w:r>
    </w:p>
    <w:p>
      <w:r>
        <w:rPr>
          <w:sz w:val="20"/>
        </w:rPr>
        <w:t xml:space="preserve">**P3**  |  2 hours  |  4 hours  |  24 hours  |  72 hours  |  Within 10 business days</w:t>
      </w:r>
    </w:p>
    <w:p>
      <w:r>
        <w:rPr>
          <w:sz w:val="20"/>
        </w:rPr>
        <w:t xml:space="preserve">**P4**  |  24 hours  |  48 hours  |  72 hours  |  1 week  |  Monthly review</w:t>
      </w:r>
    </w:p>
    <w:p>
      <w:pPr>
        <w:pBdr>
          <w:bottom w:val="single" w:sz="6" w:space="1" w:color="999999"/>
        </w:pBdr>
      </w:pPr>
    </w:p>
    <w:p>
      <w:pPr>
        <w:pStyle w:val="Heading2"/>
      </w:pPr>
      <w:r>
        <w:t>3. Escalation Paths</w:t>
      </w:r>
    </w:p>
    <w:p>
      <w:pPr>
        <w:pStyle w:val="Heading3"/>
      </w:pPr>
      <w:r>
        <w:t>P0 — Catastrophic</w:t>
      </w:r>
    </w:p>
    <w:p>
      <w:pPr>
        <w:pStyle w:val="Code"/>
      </w:pPr>
      <w:r>
        <w:rPr>
          <w:rFonts w:ascii="Courier New" w:hAnsi="Courier New"/>
          <w:sz w:val="18"/>
        </w:rPr>
        <w:t xml:space="preserve">Discoverer</w:t>
      </w:r>
    </w:p>
    <w:p>
      <w:pPr>
        <w:pStyle w:val="Code"/>
      </w:pPr>
      <w:r>
        <w:rPr>
          <w:rFonts w:ascii="Courier New" w:hAnsi="Courier New"/>
          <w:sz w:val="18"/>
        </w:rPr>
        <w:t xml:space="preserve">  └─&gt; Security On-Call (immediate)</w:t>
      </w:r>
    </w:p>
    <w:p>
      <w:pPr>
        <w:pStyle w:val="Code"/>
      </w:pPr>
      <w:r>
        <w:rPr>
          <w:rFonts w:ascii="Courier New" w:hAnsi="Courier New"/>
          <w:sz w:val="18"/>
        </w:rPr>
        <w:t xml:space="preserve">       └─&gt; CTO / CISO (within 5 min)</w:t>
      </w:r>
    </w:p>
    <w:p>
      <w:pPr>
        <w:pStyle w:val="Code"/>
      </w:pPr>
      <w:r>
        <w:rPr>
          <w:rFonts w:ascii="Courier New" w:hAnsi="Courier New"/>
          <w:sz w:val="18"/>
        </w:rPr>
        <w:t xml:space="preserve">            └─&gt; CEO + Legal Counsel (within 15 min)</w:t>
      </w:r>
    </w:p>
    <w:p>
      <w:pPr>
        <w:pStyle w:val="Code"/>
      </w:pPr>
      <w:r>
        <w:rPr>
          <w:rFonts w:ascii="Courier New" w:hAnsi="Courier New"/>
          <w:sz w:val="18"/>
        </w:rPr>
        <w:t xml:space="preserve">                 └─&gt; Board notification (within 1 hour)</w:t>
      </w:r>
    </w:p>
    <w:p>
      <w:pPr>
        <w:pStyle w:val="Code"/>
      </w:pPr>
      <w:r>
        <w:rPr>
          <w:rFonts w:ascii="Courier New" w:hAnsi="Courier New"/>
          <w:sz w:val="18"/>
        </w:rPr>
        <w:t xml:space="preserve">                      └─&gt; Regulatory authority (within 72 hours per GDPR)</w:t>
      </w:r>
    </w:p>
    <w:p>
      <w:pPr>
        <w:pStyle w:val="Heading3"/>
      </w:pPr>
      <w:r>
        <w:t>P1 — Critical</w:t>
      </w:r>
    </w:p>
    <w:p>
      <w:pPr>
        <w:pStyle w:val="Code"/>
      </w:pPr>
      <w:r>
        <w:rPr>
          <w:rFonts w:ascii="Courier New" w:hAnsi="Courier New"/>
          <w:sz w:val="18"/>
        </w:rPr>
        <w:t xml:space="preserve">Discoverer</w:t>
      </w:r>
    </w:p>
    <w:p>
      <w:pPr>
        <w:pStyle w:val="Code"/>
      </w:pPr>
      <w:r>
        <w:rPr>
          <w:rFonts w:ascii="Courier New" w:hAnsi="Courier New"/>
          <w:sz w:val="18"/>
        </w:rPr>
        <w:t xml:space="preserve">  └─&gt; Security On-Call (within 15 min)</w:t>
      </w:r>
    </w:p>
    <w:p>
      <w:pPr>
        <w:pStyle w:val="Code"/>
      </w:pPr>
      <w:r>
        <w:rPr>
          <w:rFonts w:ascii="Courier New" w:hAnsi="Courier New"/>
          <w:sz w:val="18"/>
        </w:rPr>
        <w:t xml:space="preserve">       └─&gt; Engineering Lead + Security Lead (within 30 min)</w:t>
      </w:r>
    </w:p>
    <w:p>
      <w:pPr>
        <w:pStyle w:val="Code"/>
      </w:pPr>
      <w:r>
        <w:rPr>
          <w:rFonts w:ascii="Courier New" w:hAnsi="Courier New"/>
          <w:sz w:val="18"/>
        </w:rPr>
        <w:t xml:space="preserve">            └─&gt; CTO / CISO (within 1 hour)</w:t>
      </w:r>
    </w:p>
    <w:p>
      <w:pPr>
        <w:pStyle w:val="Code"/>
      </w:pPr>
      <w:r>
        <w:rPr>
          <w:rFonts w:ascii="Courier New" w:hAnsi="Courier New"/>
          <w:sz w:val="18"/>
        </w:rPr>
        <w:t xml:space="preserve">                 └─&gt; DPO for data breach assessment</w:t>
      </w:r>
    </w:p>
    <w:p>
      <w:pPr>
        <w:pStyle w:val="Heading3"/>
      </w:pPr>
      <w:r>
        <w:t>P2 — High</w:t>
      </w:r>
    </w:p>
    <w:p>
      <w:pPr>
        <w:pStyle w:val="Code"/>
      </w:pPr>
      <w:r>
        <w:rPr>
          <w:rFonts w:ascii="Courier New" w:hAnsi="Courier New"/>
          <w:sz w:val="18"/>
        </w:rPr>
        <w:t xml:space="preserve">Discoverer</w:t>
      </w:r>
    </w:p>
    <w:p>
      <w:pPr>
        <w:pStyle w:val="Code"/>
      </w:pPr>
      <w:r>
        <w:rPr>
          <w:rFonts w:ascii="Courier New" w:hAnsi="Courier New"/>
          <w:sz w:val="18"/>
        </w:rPr>
        <w:t xml:space="preserve">  └─&gt; Security On-Call (within 30 min)</w:t>
      </w:r>
    </w:p>
    <w:p>
      <w:pPr>
        <w:pStyle w:val="Code"/>
      </w:pPr>
      <w:r>
        <w:rPr>
          <w:rFonts w:ascii="Courier New" w:hAnsi="Courier New"/>
          <w:sz w:val="18"/>
        </w:rPr>
        <w:t xml:space="preserve">       └─&gt; Engineering Lead (within 1 hour)</w:t>
      </w:r>
    </w:p>
    <w:p>
      <w:pPr>
        <w:pStyle w:val="Code"/>
      </w:pPr>
      <w:r>
        <w:rPr>
          <w:rFonts w:ascii="Courier New" w:hAnsi="Courier New"/>
          <w:sz w:val="18"/>
        </w:rPr>
        <w:t xml:space="preserve">            └─&gt; CTO (if escalation needed)</w:t>
      </w:r>
    </w:p>
    <w:p>
      <w:pPr>
        <w:pStyle w:val="Heading3"/>
      </w:pPr>
      <w:r>
        <w:t>P3/P4 — Medium/Low</w:t>
      </w:r>
    </w:p>
    <w:p>
      <w:pPr>
        <w:pStyle w:val="Code"/>
      </w:pPr>
      <w:r>
        <w:rPr>
          <w:rFonts w:ascii="Courier New" w:hAnsi="Courier New"/>
          <w:sz w:val="18"/>
        </w:rPr>
        <w:t xml:space="preserve">Discoverer</w:t>
      </w:r>
    </w:p>
    <w:p>
      <w:pPr>
        <w:pStyle w:val="Code"/>
      </w:pPr>
      <w:r>
        <w:rPr>
          <w:rFonts w:ascii="Courier New" w:hAnsi="Courier New"/>
          <w:sz w:val="18"/>
        </w:rPr>
        <w:t xml:space="preserve">  └─&gt; Security channel / ticket</w:t>
      </w:r>
    </w:p>
    <w:p>
      <w:pPr>
        <w:pStyle w:val="Code"/>
      </w:pPr>
      <w:r>
        <w:rPr>
          <w:rFonts w:ascii="Courier New" w:hAnsi="Courier New"/>
          <w:sz w:val="18"/>
        </w:rPr>
        <w:t xml:space="preserve">       └─&gt; Security team triage (next business day for P4)</w:t>
      </w:r>
    </w:p>
    <w:p>
      <w:pPr>
        <w:pBdr>
          <w:bottom w:val="single" w:sz="6" w:space="1" w:color="999999"/>
        </w:pBdr>
      </w:pPr>
    </w:p>
    <w:p>
      <w:pPr>
        <w:pStyle w:val="Heading2"/>
      </w:pPr>
      <w:r>
        <w:t>4. Communication Requirements</w:t>
      </w:r>
    </w:p>
    <w:p>
      <w:r>
        <w:rPr>
          <w:sz w:val="20"/>
        </w:rPr>
        <w:t xml:space="preserve">Level  |  Internal Comms  |  Customer Comms  |  Regulatory Notification  |  Public Disclosure</w:t>
      </w:r>
    </w:p>
    <w:p>
      <w:r>
        <w:rPr>
          <w:sz w:val="20"/>
        </w:rPr>
        <w:t xml:space="preserve">**P0**  |  All-hands war room, executive updates every 30 min  |  Status page + direct email within 1 hour  |  Within 72 hours (GDPR Art. 33) to [dpo@acme-saas.com](mailto:dpo@acme-saas.com)  |  If data breach confirmed, within 72 hours</w:t>
      </w:r>
    </w:p>
    <w:p>
      <w:r>
        <w:rPr>
          <w:sz w:val="20"/>
        </w:rPr>
        <w:t xml:space="preserve">**P1**  |  Security + engineering channel, executive update hourly  |  Status page update, affected users notified within 24 hours  |  Assess within 36 hours, notify if required  |  Only if legally required</w:t>
      </w:r>
    </w:p>
    <w:p>
      <w:r>
        <w:rPr>
          <w:sz w:val="20"/>
        </w:rPr>
        <w:t xml:space="preserve">**P2**  |  Security channel, engineering lead notified  |  Status page if user-facing impact  |  Assess within 72 hours  |  No</w:t>
      </w:r>
    </w:p>
    <w:p>
      <w:r>
        <w:rPr>
          <w:sz w:val="20"/>
        </w:rPr>
        <w:t xml:space="preserve">**P3**  |  Security ticket, weekly summary  |  No  |  No (unless investigation escalates)  |  No</w:t>
      </w:r>
    </w:p>
    <w:p>
      <w:r>
        <w:rPr>
          <w:sz w:val="20"/>
        </w:rPr>
        <w:t xml:space="preserve">**P4**  |  Security ticket  |  No  |  No  |  No</w:t>
      </w:r>
    </w:p>
    <w:p>
      <w:pPr>
        <w:pBdr>
          <w:bottom w:val="single" w:sz="6" w:space="1" w:color="999999"/>
        </w:pBdr>
      </w:pPr>
    </w:p>
    <w:p>
      <w:pPr>
        <w:pStyle w:val="Heading2"/>
      </w:pPr>
      <w:r>
        <w:t>5. Communication Channels</w:t>
      </w:r>
    </w:p>
    <w:p>
      <w:r>
        <w:rPr>
          <w:sz w:val="20"/>
        </w:rPr>
        <w:t xml:space="preserve">Channel  |  Used For  |  Access</w:t>
      </w:r>
    </w:p>
    <w:p>
      <w:r>
        <w:rPr>
          <w:sz w:val="20"/>
        </w:rPr>
        <w:t xml:space="preserve">Security email ([legal@acme.com](mailto:legal@acme.com))  |  External reports, regulatory correspondence  |  Security team</w:t>
      </w:r>
    </w:p>
    <w:p>
      <w:r>
        <w:rPr>
          <w:sz w:val="20"/>
        </w:rPr>
        <w:t xml:space="preserve">#security-incidents (Slack/Teams)  |  Real-time incident coordination  |  Security + engineering</w:t>
      </w:r>
    </w:p>
    <w:p>
      <w:r>
        <w:rPr>
          <w:sz w:val="20"/>
        </w:rPr>
        <w:t xml:space="preserve">War room (video call)  |  P0/P1 live coordination  |  All responders</w:t>
      </w:r>
    </w:p>
    <w:p>
      <w:r>
        <w:rPr>
          <w:sz w:val="20"/>
        </w:rPr>
        <w:t xml:space="preserve">Incident management tool  |  Ticket tracking, timeline documentation  |  All staff</w:t>
      </w:r>
    </w:p>
    <w:p>
      <w:r>
        <w:rPr>
          <w:sz w:val="20"/>
        </w:rPr>
        <w:t xml:space="preserve">Status page  |  Customer-facing incident updates  |  Public</w:t>
      </w:r>
    </w:p>
    <w:p>
      <w:pPr>
        <w:pBdr>
          <w:bottom w:val="single" w:sz="6" w:space="1" w:color="999999"/>
        </w:pBdr>
      </w:pPr>
    </w:p>
    <w:p>
      <w:pPr>
        <w:pStyle w:val="Heading2"/>
      </w:pPr>
      <w:r>
        <w:t>6. Per-Service Impact Assessment</w:t>
      </w:r>
    </w:p>
    <w:p>
      <w:r>
        <w:t xml:space="preserve">Severity classification when each detected service is compromised or experiences an outage.</w:t>
      </w:r>
    </w:p>
    <w:p>
      <w:r>
        <w:rPr>
          <w:sz w:val="20"/>
        </w:rPr>
        <w:t xml:space="preserve">Service  |  Category  |  If Compromised  |  If Outage  |  Data at Risk  |  Regulatory Impact</w:t>
      </w:r>
    </w:p>
    <w:p>
      <w:r>
        <w:rPr>
          <w:sz w:val="20"/>
        </w:rPr>
        <w:t xml:space="preserve">@sentry/node  |  monitoring  |  **P2**  |  **P2**  |  error data, stack traces, user context  |  Minimal direct regulatory impact</w:t>
      </w:r>
    </w:p>
    <w:p>
      <w:r>
        <w:rPr>
          <w:sz w:val="20"/>
        </w:rPr>
        <w:t xml:space="preserve">@supabase/supabase-js  |  auth  |  **P0**  |  **P1**  |  email, password hash, session data  |  GDPR Art. 33/34, credential breach notification</w:t>
      </w:r>
    </w:p>
    <w:p>
      <w:r>
        <w:rPr>
          <w:sz w:val="20"/>
        </w:rPr>
        <w:t xml:space="preserve">openai  |  ai  |  **P0**  |  **P2**  |  user prompts, conversation history, generated content  |  EU AI Act, GDPR Art. 22 (automated decisions)</w:t>
      </w:r>
    </w:p>
    <w:p>
      <w:r>
        <w:rPr>
          <w:sz w:val="20"/>
        </w:rPr>
        <w:t xml:space="preserve">posthog  |  analytics  |  **P1**  |  **P3**  |  user behavior, session recordings, feature flag usage  |  ePrivacy, GDPR Art. 6/7 (consent)</w:t>
      </w:r>
    </w:p>
    <w:p>
      <w:r>
        <w:rPr>
          <w:sz w:val="20"/>
        </w:rPr>
        <w:t xml:space="preserve">prisma  |  database  |  **P0**  |  **P1**  |  user data as defined in schema  |  GDPR Art. 33/34, data breach notification</w:t>
      </w:r>
    </w:p>
    <w:p>
      <w:r>
        <w:rPr>
          <w:sz w:val="20"/>
        </w:rPr>
        <w:t xml:space="preserve">resend  |  email  |  **P1**  |  **P2**  |  email addresses, email content  |  CAN-SPAM, GDPR Art. 33/34</w:t>
      </w:r>
    </w:p>
    <w:p>
      <w:r>
        <w:rPr>
          <w:sz w:val="20"/>
        </w:rPr>
        <w:t xml:space="preserve">stripe  |  payment  |  **P0**  |  **P1**  |  payment information, billing address, email  |  PCI DSS, GDPR Art. 33/34</w:t>
      </w:r>
    </w:p>
    <w:p>
      <w:r>
        <w:rPr>
          <w:sz w:val="20"/>
        </w:rPr>
        <w:t xml:space="preserve">stripe-ios  |  payment  |  **P0**  |  **P1**  |  payment information, billing address, email  |  PCI DSS, GDPR Art. 33/34</w:t>
      </w:r>
    </w:p>
    <w:p>
      <w:pPr>
        <w:pBdr>
          <w:bottom w:val="single" w:sz="6" w:space="1" w:color="999999"/>
        </w:pBdr>
      </w:pPr>
    </w:p>
    <w:p>
      <w:pPr>
        <w:pStyle w:val="Heading2"/>
      </w:pPr>
      <w:r>
        <w:t>7. Category-Specific Incident Scenarios</w:t>
      </w:r>
    </w:p>
    <w:p>
      <w:pPr>
        <w:pStyle w:val="Heading3"/>
      </w:pPr>
      <w:r>
        <w:t>AI Services</w:t>
      </w:r>
    </w:p>
    <w:p>
      <w:r>
        <w:rPr>
          <w:sz w:val="20"/>
        </w:rPr>
        <w:t xml:space="preserve">Scenario  |  Severity  |  Response Action</w:t>
      </w:r>
    </w:p>
    <w:p>
      <w:r>
        <w:rPr>
          <w:sz w:val="20"/>
        </w:rPr>
        <w:t xml:space="preserve">User PII leaked through AI prompts  |  **P0**  |  Disable AI feature, assess data exposure, notify affected users</w:t>
      </w:r>
    </w:p>
    <w:p>
      <w:r>
        <w:rPr>
          <w:sz w:val="20"/>
        </w:rPr>
        <w:t xml:space="preserve">Prompt injection bypasses safety controls  |  **P1**  |  Throttle AI endpoint, deploy input validation fix, audit recent outputs</w:t>
      </w:r>
    </w:p>
    <w:p>
      <w:r>
        <w:rPr>
          <w:sz w:val="20"/>
        </w:rPr>
        <w:t xml:space="preserve">AI model produces biased/discriminatory output  |  **P2**  |  Document instances, add guardrails, notify AI ethics team</w:t>
      </w:r>
    </w:p>
    <w:p>
      <w:r>
        <w:rPr>
          <w:sz w:val="20"/>
        </w:rPr>
        <w:t xml:space="preserve">AI service provider data breach  |  **P1**  |  Assess data shared with provider, rotate API keys, review DPA obligations</w:t>
      </w:r>
    </w:p>
    <w:p>
      <w:r>
        <w:rPr>
          <w:sz w:val="20"/>
        </w:rPr>
        <w:t xml:space="preserve">AI hallucination causes user harm  |  **P2**  |  Add output disclaimers, review and strengthen validation layer</w:t>
      </w:r>
    </w:p>
    <w:p>
      <w:pPr>
        <w:pStyle w:val="Heading3"/>
      </w:pPr>
      <w:r>
        <w:t>Payment Services</w:t>
      </w:r>
    </w:p>
    <w:p>
      <w:r>
        <w:rPr>
          <w:sz w:val="20"/>
        </w:rPr>
        <w:t xml:space="preserve">Scenario  |  Severity  |  Response Action</w:t>
      </w:r>
    </w:p>
    <w:p>
      <w:r>
        <w:rPr>
          <w:sz w:val="20"/>
        </w:rPr>
        <w:t xml:space="preserve">Cardholder data exposed  |  **P0**  |  Isolate systems, notify payment processor within 24h, engage PCI forensic investigator</w:t>
      </w:r>
    </w:p>
    <w:p>
      <w:r>
        <w:rPr>
          <w:sz w:val="20"/>
        </w:rPr>
        <w:t xml:space="preserve">Payment processing outage  |  **P1**  |  Activate backup processor, communicate to affected customers</w:t>
      </w:r>
    </w:p>
    <w:p>
      <w:r>
        <w:rPr>
          <w:sz w:val="20"/>
        </w:rPr>
        <w:t xml:space="preserve">Fraudulent transactions detected  |  **P2**  |  Flag accounts, review transaction logs, strengthen fraud detection</w:t>
      </w:r>
    </w:p>
    <w:p>
      <w:r>
        <w:rPr>
          <w:sz w:val="20"/>
        </w:rPr>
        <w:t xml:space="preserve">PCI DSS compliance gap discovered  |  **P3**  |  Document gap, create remediation plan, assess risk</w:t>
      </w:r>
    </w:p>
    <w:p>
      <w:pPr>
        <w:pStyle w:val="Heading3"/>
      </w:pPr>
      <w:r>
        <w:t>Authentication Services</w:t>
      </w:r>
    </w:p>
    <w:p>
      <w:r>
        <w:rPr>
          <w:sz w:val="20"/>
        </w:rPr>
        <w:t xml:space="preserve">Scenario  |  Severity  |  Response Action</w:t>
      </w:r>
    </w:p>
    <w:p>
      <w:r>
        <w:rPr>
          <w:sz w:val="20"/>
        </w:rPr>
        <w:t xml:space="preserve">Complete auth bypass discovered  |  **P0**  |  Disable affected auth flow, force re-authentication, rotate all sessions</w:t>
      </w:r>
    </w:p>
    <w:p>
      <w:r>
        <w:rPr>
          <w:sz w:val="20"/>
        </w:rPr>
        <w:t xml:space="preserve">Credential stuffing attack in progress  |  **P1**  |  Enable rate limiting, lock affected accounts, force password resets</w:t>
      </w:r>
    </w:p>
    <w:p>
      <w:r>
        <w:rPr>
          <w:sz w:val="20"/>
        </w:rPr>
        <w:t xml:space="preserve">OAuth token leak  |  **P1**  |  Revoke leaked tokens, rotate secrets, audit access logs</w:t>
      </w:r>
    </w:p>
    <w:p>
      <w:r>
        <w:rPr>
          <w:sz w:val="20"/>
        </w:rPr>
        <w:t xml:space="preserve">Auth provider outage  |  **P2**  |  Activate fallback auth, communicate login issues to users</w:t>
      </w:r>
    </w:p>
    <w:p>
      <w:pPr>
        <w:pStyle w:val="Heading3"/>
      </w:pPr>
      <w:r>
        <w:t>Database &amp; Storage Services</w:t>
      </w:r>
    </w:p>
    <w:p>
      <w:r>
        <w:rPr>
          <w:sz w:val="20"/>
        </w:rPr>
        <w:t xml:space="preserve">Scenario  |  Severity  |  Response Action</w:t>
      </w:r>
    </w:p>
    <w:p>
      <w:r>
        <w:rPr>
          <w:sz w:val="20"/>
        </w:rPr>
        <w:t xml:space="preserve">Database exposed to internet  |  **P0**  |  Restrict network access immediately, audit data access logs, rotate credentials</w:t>
      </w:r>
    </w:p>
    <w:p>
      <w:r>
        <w:rPr>
          <w:sz w:val="20"/>
        </w:rPr>
        <w:t xml:space="preserve">Unauthorized database query detected  |  **P1**  |  Revoke access, investigate query scope, assess data exposure</w:t>
      </w:r>
    </w:p>
    <w:p>
      <w:r>
        <w:rPr>
          <w:sz w:val="20"/>
        </w:rPr>
        <w:t xml:space="preserve">Storage bucket misconfiguration  |  **P1**  |  Lock down permissions, audit exposed files, notify if PII exposed</w:t>
      </w:r>
    </w:p>
    <w:p>
      <w:r>
        <w:rPr>
          <w:sz w:val="20"/>
        </w:rPr>
        <w:t xml:space="preserve">Database corruption / data loss  |  **P2**  |  Activate backup restoration, assess data integrity</w:t>
      </w:r>
    </w:p>
    <w:p>
      <w:pPr>
        <w:pStyle w:val="Heading3"/>
      </w:pPr>
      <w:r>
        <w:t>Analytics Services</w:t>
      </w:r>
    </w:p>
    <w:p>
      <w:r>
        <w:rPr>
          <w:sz w:val="20"/>
        </w:rPr>
        <w:t xml:space="preserve">Scenario  |  Severity  |  Response Action</w:t>
      </w:r>
    </w:p>
    <w:p>
      <w:r>
        <w:rPr>
          <w:sz w:val="20"/>
        </w:rPr>
        <w:t xml:space="preserve">Analytics collecting PII without consent  |  **P2**  |  Disable data collection, audit consent records, update cookie consent config</w:t>
      </w:r>
    </w:p>
    <w:p>
      <w:r>
        <w:rPr>
          <w:sz w:val="20"/>
        </w:rPr>
        <w:t xml:space="preserve">Analytics data shared with unauthorized third party  |  **P1**  |  Revoke access, assess GDPR Art. 33 notification requirement</w:t>
      </w:r>
    </w:p>
    <w:p>
      <w:r>
        <w:rPr>
          <w:sz w:val="20"/>
        </w:rPr>
        <w:t xml:space="preserve">Analytics tracking across domains without disclosure  |  **P3**  |  Update privacy policy, reconfigure tracking parameters</w:t>
      </w:r>
    </w:p>
    <w:p>
      <w:pPr>
        <w:pBdr>
          <w:bottom w:val="single" w:sz="6" w:space="1" w:color="999999"/>
        </w:pBdr>
      </w:pPr>
    </w:p>
    <w:p>
      <w:pPr>
        <w:pStyle w:val="Heading2"/>
      </w:pPr>
      <w:r>
        <w:t>8. Severity Decision Tree</w:t>
      </w:r>
    </w:p>
    <w:p>
      <w:r>
        <w:t xml:space="preserve">Use this decision tree to classify incidents when severity is unclear:</w:t>
      </w:r>
    </w:p>
    <w:p>
      <w:pPr>
        <w:pStyle w:val="Code"/>
      </w:pPr>
      <w:r>
        <w:rPr>
          <w:rFonts w:ascii="Courier New" w:hAnsi="Courier New"/>
          <w:sz w:val="18"/>
        </w:rPr>
        <w:t xml:space="preserve">Is there confirmed data exfiltration or complete system compromise?</w:t>
      </w:r>
    </w:p>
    <w:p>
      <w:pPr>
        <w:pStyle w:val="Code"/>
      </w:pPr>
      <w:r>
        <w:rPr>
          <w:rFonts w:ascii="Courier New" w:hAnsi="Courier New"/>
          <w:sz w:val="18"/>
        </w:rPr>
        <w:t xml:space="preserve">  ├─ YES → P0 (Catastrophic)</w:t>
      </w:r>
    </w:p>
    <w:p>
      <w:pPr>
        <w:pStyle w:val="Code"/>
      </w:pPr>
      <w:r>
        <w:rPr>
          <w:rFonts w:ascii="Courier New" w:hAnsi="Courier New"/>
          <w:sz w:val="18"/>
        </w:rPr>
        <w:t xml:space="preserve">  └─ NO</w:t>
      </w:r>
    </w:p>
    <w:p>
      <w:pPr>
        <w:pStyle w:val="Code"/>
      </w:pPr>
      <w:r>
        <w:rPr>
          <w:rFonts w:ascii="Courier New" w:hAnsi="Courier New"/>
          <w:sz w:val="18"/>
        </w:rPr>
        <w:t xml:space="preserve">       Is there confirmed unauthorized access to PII or critical systems?</w:t>
      </w:r>
    </w:p>
    <w:p>
      <w:pPr>
        <w:pStyle w:val="Code"/>
      </w:pPr>
      <w:r>
        <w:rPr>
          <w:rFonts w:ascii="Courier New" w:hAnsi="Courier New"/>
          <w:sz w:val="18"/>
        </w:rPr>
        <w:t xml:space="preserve">       ├─ YES → P1 (Critical)</w:t>
      </w:r>
    </w:p>
    <w:p>
      <w:pPr>
        <w:pStyle w:val="Code"/>
      </w:pPr>
      <w:r>
        <w:rPr>
          <w:rFonts w:ascii="Courier New" w:hAnsi="Courier New"/>
          <w:sz w:val="18"/>
        </w:rPr>
        <w:t xml:space="preserve">       └─ NO</w:t>
      </w:r>
    </w:p>
    <w:p>
      <w:pPr>
        <w:pStyle w:val="Code"/>
      </w:pPr>
      <w:r>
        <w:rPr>
          <w:rFonts w:ascii="Courier New" w:hAnsi="Courier New"/>
          <w:sz w:val="18"/>
        </w:rPr>
        <w:t xml:space="preserve">            Is there an active exploit or significant service degradation?</w:t>
      </w:r>
    </w:p>
    <w:p>
      <w:pPr>
        <w:pStyle w:val="Code"/>
      </w:pPr>
      <w:r>
        <w:rPr>
          <w:rFonts w:ascii="Courier New" w:hAnsi="Courier New"/>
          <w:sz w:val="18"/>
        </w:rPr>
        <w:t xml:space="preserve">            ├─ YES → P2 (High)</w:t>
      </w:r>
    </w:p>
    <w:p>
      <w:pPr>
        <w:pStyle w:val="Code"/>
      </w:pPr>
      <w:r>
        <w:rPr>
          <w:rFonts w:ascii="Courier New" w:hAnsi="Courier New"/>
          <w:sz w:val="18"/>
        </w:rPr>
        <w:t xml:space="preserve">            └─ NO</w:t>
      </w:r>
    </w:p>
    <w:p>
      <w:pPr>
        <w:pStyle w:val="Code"/>
      </w:pPr>
      <w:r>
        <w:rPr>
          <w:rFonts w:ascii="Courier New" w:hAnsi="Courier New"/>
          <w:sz w:val="18"/>
        </w:rPr>
        <w:t xml:space="preserve">                 Is investigation required to determine impact?</w:t>
      </w:r>
    </w:p>
    <w:p>
      <w:pPr>
        <w:pStyle w:val="Code"/>
      </w:pPr>
      <w:r>
        <w:rPr>
          <w:rFonts w:ascii="Courier New" w:hAnsi="Courier New"/>
          <w:sz w:val="18"/>
        </w:rPr>
        <w:t xml:space="preserve">                 ├─ YES → P3 (Medium)</w:t>
      </w:r>
    </w:p>
    <w:p>
      <w:pPr>
        <w:pStyle w:val="Code"/>
      </w:pPr>
      <w:r>
        <w:rPr>
          <w:rFonts w:ascii="Courier New" w:hAnsi="Courier New"/>
          <w:sz w:val="18"/>
        </w:rPr>
        <w:t xml:space="preserve">                 └─ NO → P4 (Low)</w:t>
      </w:r>
    </w:p>
    <w:p>
      <w:pPr>
        <w:pBdr>
          <w:bottom w:val="single" w:sz="6" w:space="1" w:color="999999"/>
        </w:pBdr>
      </w:pPr>
    </w:p>
    <w:p>
      <w:pPr>
        <w:pStyle w:val="Heading2"/>
      </w:pPr>
      <w:r>
        <w:t>9. Regulatory Response Timelines</w:t>
      </w:r>
    </w:p>
    <w:p>
      <w:r>
        <w:t xml:space="preserve">Mandatory notification deadlines by regulation for data breach incidents (P0/P1).</w:t>
      </w:r>
    </w:p>
    <w:p>
      <w:r>
        <w:rPr>
          <w:sz w:val="20"/>
        </w:rPr>
        <w:t xml:space="preserve">Regulation  |  Authority Notification  |  Individual Notification  |  Key Requirement</w:t>
      </w:r>
    </w:p>
    <w:p>
      <w:r>
        <w:rPr>
          <w:sz w:val="20"/>
        </w:rPr>
        <w:t xml:space="preserve">GDPR (Art. 33/34)  |  **72 hours**  |  Without undue delay (high risk)  |  Must document all breaches regardless of notification</w:t>
      </w:r>
    </w:p>
    <w:p>
      <w:r>
        <w:rPr>
          <w:sz w:val="20"/>
        </w:rPr>
        <w:t xml:space="preserve">UK GDPR  |  **72 hours**  |  Without undue delay (high risk)  |  Notify ICO via online portal</w:t>
      </w:r>
    </w:p>
    <w:p>
      <w:r>
        <w:rPr>
          <w:sz w:val="20"/>
        </w:rPr>
        <w:t xml:space="preserve">CCPA/CPRA  |  Varies by state  |  Without unreasonable delay  |  AG notification for 500+ CA residents</w:t>
      </w:r>
    </w:p>
    <w:p>
      <w:r>
        <w:rPr>
          <w:sz w:val="20"/>
        </w:rPr>
        <w:t xml:space="preserve">PCI DSS  |  **24 hours** (to processor)  |  As required  |  Engage PCI Forensic Investigator (PFI)</w:t>
      </w:r>
    </w:p>
    <w:p>
      <w:r>
        <w:rPr>
          <w:sz w:val="20"/>
        </w:rPr>
        <w:t xml:space="preserve">EU AI Act  |  As required by severity  |  Depends on risk level  |  Additional obligations for high-risk AI systems</w:t>
      </w:r>
    </w:p>
    <w:p>
      <w:r>
        <w:rPr>
          <w:sz w:val="20"/>
        </w:rPr>
        <w:t xml:space="preserve">ePrivacy  |  Per member state law  |  Per member state law  |  Cookie/tracking specific requirements</w:t>
      </w:r>
    </w:p>
    <w:p>
      <w:pPr>
        <w:pBdr>
          <w:bottom w:val="single" w:sz="6" w:space="1" w:color="999999"/>
        </w:pBdr>
      </w:pPr>
    </w:p>
    <w:p>
      <w:pPr>
        <w:pStyle w:val="Heading2"/>
      </w:pPr>
      <w:r>
        <w:t>10. Incident Response Roles</w:t>
      </w:r>
    </w:p>
    <w:p>
      <w:r>
        <w:rPr>
          <w:sz w:val="20"/>
        </w:rPr>
        <w:t xml:space="preserve">Role  |  P0 Responsibility  |  P1-P2 Responsibility  |  P3-P4 Responsibility</w:t>
      </w:r>
    </w:p>
    <w:p>
      <w:r>
        <w:rPr>
          <w:sz w:val="20"/>
        </w:rPr>
        <w:t xml:space="preserve">**Incident Commander**  |  Leads war room, all decisions  |  Coordinates response  |  Reviews report</w:t>
      </w:r>
    </w:p>
    <w:p>
      <w:r>
        <w:rPr>
          <w:sz w:val="20"/>
        </w:rPr>
        <w:t xml:space="preserve">**Security Lead**  |  Active investigation, containment  |  Investigation lead  |  Triages tickets</w:t>
      </w:r>
    </w:p>
    <w:p>
      <w:r>
        <w:rPr>
          <w:sz w:val="20"/>
        </w:rPr>
        <w:t xml:space="preserve">**Engineering Lead**  |  Emergency fixes, system isolation  |  Deploys fixes  |  Assigns fixes</w:t>
      </w:r>
    </w:p>
    <w:p>
      <w:r>
        <w:rPr>
          <w:sz w:val="20"/>
        </w:rPr>
        <w:t xml:space="preserve">**DPO** ([dpo@acme-saas.com](mailto:dpo@acme-saas.com))  |  Regulatory notification decision  |  Breach assessment  |  Monthly review</w:t>
      </w:r>
    </w:p>
    <w:p>
      <w:r>
        <w:rPr>
          <w:sz w:val="20"/>
        </w:rPr>
        <w:t xml:space="preserve">**Communications Lead**  |  Customer + public messaging  |  Status page updates  |  No action</w:t>
      </w:r>
    </w:p>
    <w:p>
      <w:r>
        <w:rPr>
          <w:sz w:val="20"/>
        </w:rPr>
        <w:t xml:space="preserve">**Legal Counsel**  |  Regulatory response, evidence preservation  |  Legal assessment  |  No action</w:t>
      </w:r>
    </w:p>
    <w:p>
      <w:r>
        <w:rPr>
          <w:sz w:val="20"/>
        </w:rPr>
        <w:t xml:space="preserve">**Executive Sponsor**  |  Final authority, board comms  |  Informed, escalation  |  Informed via report</w:t>
      </w:r>
    </w:p>
    <w:p>
      <w:pPr>
        <w:pBdr>
          <w:bottom w:val="single" w:sz="6" w:space="1" w:color="999999"/>
        </w:pBdr>
      </w:pPr>
    </w:p>
    <w:p>
      <w:r>
        <w:t xml:space="preserve">This incident severity matrix was generated by [Codepliant](https://github.com/joechensmartz/codepliant) based on an automated scan of the nextjs-saas-example codebase (8 services detected). Customize response times, escalation paths, and roles to match your organization's structure. This document should be reviewed by your security team and legal counsel before adoption.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